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20" w:rsidRPr="00462320" w:rsidRDefault="00462320" w:rsidP="00462320">
      <w:pPr>
        <w:shd w:val="clear" w:color="auto" w:fill="FFFFFF"/>
        <w:spacing w:after="0" w:line="240" w:lineRule="auto"/>
        <w:ind w:left="278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462320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462320" w:rsidRPr="00462320" w:rsidRDefault="00462320" w:rsidP="00462320">
      <w:pPr>
        <w:shd w:val="clear" w:color="auto" w:fill="FFFFFF"/>
        <w:spacing w:after="0" w:line="240" w:lineRule="auto"/>
        <w:ind w:left="197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462320" w:rsidRPr="00462320" w:rsidRDefault="00462320" w:rsidP="00462320">
      <w:pPr>
        <w:shd w:val="clear" w:color="auto" w:fill="FFFFFF"/>
        <w:spacing w:after="0" w:line="240" w:lineRule="auto"/>
        <w:ind w:left="199"/>
        <w:jc w:val="center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462320" w:rsidRPr="00462320" w:rsidRDefault="00462320" w:rsidP="00462320">
      <w:pPr>
        <w:shd w:val="clear" w:color="auto" w:fill="FFFFFF"/>
        <w:spacing w:after="0" w:line="240" w:lineRule="auto"/>
        <w:ind w:left="3367"/>
        <w:rPr>
          <w:rFonts w:ascii="Times New Roman" w:hAnsi="Times New Roman" w:cs="Times New Roman"/>
        </w:rPr>
      </w:pPr>
      <w:r w:rsidRPr="00462320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362A6D" w:rsidRPr="00672062" w:rsidRDefault="00362A6D" w:rsidP="00B853C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62A6D" w:rsidRPr="00672062" w:rsidRDefault="00672062" w:rsidP="00B853C2">
      <w:pPr>
        <w:rPr>
          <w:rFonts w:ascii="Times New Roman" w:hAnsi="Times New Roman" w:cs="Times New Roman"/>
          <w:sz w:val="26"/>
          <w:szCs w:val="26"/>
        </w:rPr>
      </w:pPr>
      <w:r w:rsidRPr="00672062">
        <w:rPr>
          <w:rFonts w:ascii="Times New Roman" w:hAnsi="Times New Roman" w:cs="Times New Roman"/>
          <w:sz w:val="26"/>
          <w:szCs w:val="26"/>
        </w:rPr>
        <w:t>29</w:t>
      </w:r>
      <w:r w:rsidR="00362A6D" w:rsidRPr="00672062">
        <w:rPr>
          <w:rFonts w:ascii="Times New Roman" w:hAnsi="Times New Roman" w:cs="Times New Roman"/>
          <w:sz w:val="26"/>
          <w:szCs w:val="26"/>
        </w:rPr>
        <w:t>.0</w:t>
      </w:r>
      <w:r w:rsidR="002A0831" w:rsidRPr="00672062">
        <w:rPr>
          <w:rFonts w:ascii="Times New Roman" w:hAnsi="Times New Roman" w:cs="Times New Roman"/>
          <w:sz w:val="26"/>
          <w:szCs w:val="26"/>
        </w:rPr>
        <w:t>4</w:t>
      </w:r>
      <w:r w:rsidR="00362A6D" w:rsidRPr="00672062">
        <w:rPr>
          <w:rFonts w:ascii="Times New Roman" w:hAnsi="Times New Roman" w:cs="Times New Roman"/>
          <w:sz w:val="26"/>
          <w:szCs w:val="26"/>
        </w:rPr>
        <w:t>.20</w:t>
      </w:r>
      <w:r w:rsidR="00D95086" w:rsidRPr="00672062">
        <w:rPr>
          <w:rFonts w:ascii="Times New Roman" w:hAnsi="Times New Roman" w:cs="Times New Roman"/>
          <w:sz w:val="26"/>
          <w:szCs w:val="26"/>
        </w:rPr>
        <w:t>2</w:t>
      </w:r>
      <w:r w:rsidR="007C6006" w:rsidRPr="00672062">
        <w:rPr>
          <w:rFonts w:ascii="Times New Roman" w:hAnsi="Times New Roman" w:cs="Times New Roman"/>
          <w:sz w:val="26"/>
          <w:szCs w:val="26"/>
        </w:rPr>
        <w:t>1</w:t>
      </w:r>
      <w:r w:rsidR="00B853C2" w:rsidRPr="0067206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7206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proofErr w:type="spellStart"/>
      <w:r w:rsidR="00462320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462320">
        <w:rPr>
          <w:rFonts w:ascii="Times New Roman" w:hAnsi="Times New Roman" w:cs="Times New Roman"/>
          <w:sz w:val="26"/>
          <w:szCs w:val="26"/>
        </w:rPr>
        <w:t>.Е</w:t>
      </w:r>
      <w:proofErr w:type="gramEnd"/>
      <w:r w:rsidR="00462320">
        <w:rPr>
          <w:rFonts w:ascii="Times New Roman" w:hAnsi="Times New Roman" w:cs="Times New Roman"/>
          <w:sz w:val="26"/>
          <w:szCs w:val="26"/>
        </w:rPr>
        <w:t>лизаветинка</w:t>
      </w:r>
      <w:proofErr w:type="spellEnd"/>
      <w:r w:rsidR="00462320">
        <w:rPr>
          <w:rFonts w:ascii="Times New Roman" w:hAnsi="Times New Roman" w:cs="Times New Roman"/>
          <w:sz w:val="26"/>
          <w:szCs w:val="26"/>
        </w:rPr>
        <w:t xml:space="preserve">     </w:t>
      </w:r>
      <w:r w:rsidR="00B853C2" w:rsidRPr="00672062">
        <w:rPr>
          <w:rFonts w:ascii="Times New Roman" w:hAnsi="Times New Roman" w:cs="Times New Roman"/>
          <w:sz w:val="26"/>
          <w:szCs w:val="26"/>
        </w:rPr>
        <w:t xml:space="preserve">                                      № </w:t>
      </w:r>
      <w:r w:rsidR="00462320">
        <w:rPr>
          <w:rFonts w:ascii="Times New Roman" w:hAnsi="Times New Roman" w:cs="Times New Roman"/>
          <w:sz w:val="26"/>
          <w:szCs w:val="26"/>
        </w:rPr>
        <w:t>25</w:t>
      </w:r>
    </w:p>
    <w:p w:rsidR="00362A6D" w:rsidRPr="00672062" w:rsidRDefault="00362A6D" w:rsidP="00B853C2">
      <w:pPr>
        <w:pStyle w:val="1"/>
        <w:shd w:val="clear" w:color="auto" w:fill="auto"/>
        <w:ind w:left="-709" w:right="-284"/>
        <w:jc w:val="center"/>
        <w:rPr>
          <w:b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О случаях осуществления банковского сопровождения контрактов </w:t>
      </w:r>
      <w:r>
        <w:rPr>
          <w:rFonts w:ascii="Times New Roman" w:eastAsia="Times New Roman" w:hAnsi="Times New Roman"/>
          <w:color w:val="000000"/>
          <w:sz w:val="26"/>
          <w:szCs w:val="26"/>
        </w:rPr>
        <w:br/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для обеспечения </w:t>
      </w:r>
      <w:proofErr w:type="gramStart"/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нужд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администрации </w:t>
      </w:r>
      <w:r w:rsidR="00462320">
        <w:rPr>
          <w:rFonts w:ascii="Times New Roman" w:eastAsia="Times New Roman" w:hAnsi="Times New Roman"/>
          <w:color w:val="000000"/>
          <w:sz w:val="26"/>
          <w:szCs w:val="26"/>
        </w:rPr>
        <w:t>Елизаветинского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сельсовета</w:t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br/>
      </w: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Чистоозерного района Новосибирской области</w:t>
      </w:r>
      <w:proofErr w:type="gramEnd"/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В</w:t>
      </w:r>
      <w:r w:rsidRPr="00672062">
        <w:rPr>
          <w:rFonts w:ascii="Times New Roman" w:eastAsia="Times New Roman" w:hAnsi="Times New Roman"/>
          <w:sz w:val="26"/>
          <w:szCs w:val="26"/>
        </w:rPr>
        <w:t xml:space="preserve"> соответствии со статьей 35 Федерального закона "О контрактной системе в сфере закупок товаров, работ, услуг для обеспечения государс</w:t>
      </w:r>
      <w:r>
        <w:rPr>
          <w:rFonts w:ascii="Times New Roman" w:eastAsia="Times New Roman" w:hAnsi="Times New Roman"/>
          <w:sz w:val="26"/>
          <w:szCs w:val="26"/>
        </w:rPr>
        <w:t xml:space="preserve">твенных и муниципальных нужд", </w:t>
      </w:r>
      <w:r w:rsidRPr="00672062">
        <w:rPr>
          <w:rFonts w:ascii="Times New Roman" w:eastAsia="Times New Roman" w:hAnsi="Times New Roman"/>
          <w:sz w:val="26"/>
          <w:szCs w:val="26"/>
        </w:rPr>
        <w:t>Постановления Правительства Российской Федерации от 20.09.2014г. № 963 № «О банковском сопр</w:t>
      </w:r>
      <w:r>
        <w:rPr>
          <w:rFonts w:ascii="Times New Roman" w:eastAsia="Times New Roman" w:hAnsi="Times New Roman"/>
          <w:sz w:val="26"/>
          <w:szCs w:val="26"/>
        </w:rPr>
        <w:t xml:space="preserve">овождении контрактов», </w:t>
      </w:r>
      <w:r w:rsidR="00462320">
        <w:rPr>
          <w:rFonts w:ascii="Times New Roman" w:eastAsia="Times New Roman" w:hAnsi="Times New Roman"/>
          <w:sz w:val="26"/>
          <w:szCs w:val="26"/>
        </w:rPr>
        <w:t>администрация Елизаветинского сельсовета Чистоозерного района Новосибирской области</w:t>
      </w:r>
    </w:p>
    <w:p w:rsidR="00462320" w:rsidRDefault="00462320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ПОСТАНОЛЯЕТ: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>1. Утвердить прилагаемые Правила осуществления банков</w:t>
      </w:r>
      <w:r w:rsidR="00462320">
        <w:rPr>
          <w:rFonts w:ascii="Times New Roman" w:eastAsia="Times New Roman" w:hAnsi="Times New Roman"/>
          <w:sz w:val="26"/>
          <w:szCs w:val="26"/>
        </w:rPr>
        <w:t>ского сопровождения контрактов (приложение 1).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2. Установить, что положения Правил, утвержденных настоящим постановлением, не применяются в отношении: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>гражданско-правовых договоров, предметом которых являются поставка товара, выполнение работы, оказани</w:t>
      </w:r>
      <w:r>
        <w:rPr>
          <w:rFonts w:ascii="Times New Roman" w:eastAsia="Times New Roman" w:hAnsi="Times New Roman"/>
          <w:sz w:val="26"/>
          <w:szCs w:val="26"/>
        </w:rPr>
        <w:t xml:space="preserve">е услуги, заключенных от имени </w:t>
      </w:r>
      <w:r w:rsidRPr="00672062">
        <w:rPr>
          <w:rFonts w:ascii="Times New Roman" w:eastAsia="Times New Roman" w:hAnsi="Times New Roman"/>
          <w:sz w:val="26"/>
          <w:szCs w:val="26"/>
        </w:rPr>
        <w:t>муниципального образования, а также бюджетным учреждением либо иным юридическим лицом в соответствии с частями 1, 4 и 5 статьи 15 Федерального закона "О контрактной системе в сфере закупок товаров, работ, услуг для обеспечения государственных и муниципальных нужд" до вступления в силу настоящего постановления.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муниципальных контрактов, сведения о которых составляют государственную тайну.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3. Установить, что банковское сопровождение контрактов, предметом которых являются поставки товаров, выполнение работ, оказание услуг для обеспечения муниципальных нужд, осуществляется в соответствии с Правилами, утвержденными настоящим постановлением, в следующих случаях: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в отношении банковского сопровождения контракта, заключающегося в проведении мониторинга расчетов в рамках исполнения контракта: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контракт, заключаемый в соответствии с частью 16 статьи 34 Федерального закона "О контрактной системе в сфере закупок товаров, работ, услуг для обеспечения государственных и муниципальных нужд", предусматривает закупку товара или работы (в том числе при необходимости проектирование, конструирование объекта, который должен быть создан в результате выполнения работы), последующее обслуживание, ремонт и при необходимости эксплуатацию и (или) утилизацию поставленного товара или созданного в результате выполнения работы объекта (контракт жизненного цикла) и (или) начальная (максимальная) цена контракта (цена контракта, заключаемого с единственным поставщиком) превышает 10 млрд. рублей (за исключением случая, указанного в абзаце третьем настоящего подпункта);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672062">
        <w:rPr>
          <w:rFonts w:ascii="Times New Roman" w:eastAsia="Times New Roman" w:hAnsi="Times New Roman"/>
          <w:sz w:val="26"/>
          <w:szCs w:val="26"/>
        </w:rPr>
        <w:t xml:space="preserve">цена контракта, заключаемого с единственным поставщиком на основании актов, изданных в соответствии с пунктом 2 части 1 статьи 93 Федерального закона "О контрактной системе в сфере закупок товаров, работ, услуг для обеспечения государственных и муниципальных нужд" (далее - акты), превышает 10 млрд. рублей и </w:t>
      </w:r>
      <w:r w:rsidRPr="00672062">
        <w:rPr>
          <w:rFonts w:ascii="Times New Roman" w:eastAsia="Times New Roman" w:hAnsi="Times New Roman"/>
          <w:sz w:val="26"/>
          <w:szCs w:val="26"/>
        </w:rPr>
        <w:lastRenderedPageBreak/>
        <w:t>актом предусматривается привлечение заказчиком банка в целях банковского сопровождения, а также не установлена обязанность заказчика включить в</w:t>
      </w:r>
      <w:proofErr w:type="gramEnd"/>
      <w:r w:rsidRPr="00672062">
        <w:rPr>
          <w:rFonts w:ascii="Times New Roman" w:eastAsia="Times New Roman" w:hAnsi="Times New Roman"/>
          <w:sz w:val="26"/>
          <w:szCs w:val="26"/>
        </w:rPr>
        <w:t xml:space="preserve"> такой контракт условие об обеспечении его исполнения;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цена контракта, заключаемого в целях строительства (реконструкции, в том числе с элементами реставрации, технического перевооружения) объекта капитального строительства с единственным поставщиком на основании акта, превышает 10 млрд. рублей и актом не установлена обязанность заказчика включить в такой контракт условие об обеспечении его исполнения (за исключением случая, указанного в абзаце третьем настоящего подпункта);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начальная (максимальная) цена контракта (цена контракта, заключаемого с единственным поставщиком) превышает 15 млрд. рублей и утвержденной государственной программой Российской Федерации предусмотрена обязанность привлечь банк в целях банковского сопровождения.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4.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672062">
        <w:rPr>
          <w:rFonts w:ascii="Times New Roman" w:eastAsia="Times New Roman" w:hAnsi="Times New Roman"/>
          <w:sz w:val="26"/>
          <w:szCs w:val="26"/>
        </w:rPr>
        <w:t xml:space="preserve">ри осуществлении закупки для обеспечения муниципальных нужд включать в контракт в соответствии с частью 26 статьи 34 Федерального закона "О контрактной системе в сфере закупок товаров, работ, услуг для обеспечения государственных и муниципальных нужд", если начальная (максимальная) цена такого контракта (цена контракта с единственным поставщиком (подрядчиком, исполнителем) составляет: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не менее 200 млн. рублей (для муниципального образования), - условие о банковском сопровождении контракта, заключающееся в проведении банком, привлеченным поставщиком или заказчиком, мониторинга расчетов в рамках исполнения контракта;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>не менее 5 млрд. рублей, - условие, предусматривающее привлечение поставщиком или заказчиком банка в рамках расширенного банковского сопровождения.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 xml:space="preserve">2. Настоящее постановление вступает в силу со дня подписания.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72062">
        <w:rPr>
          <w:rFonts w:ascii="Times New Roman" w:eastAsia="Times New Roman" w:hAnsi="Times New Roman"/>
          <w:color w:val="000000"/>
          <w:sz w:val="26"/>
          <w:szCs w:val="26"/>
        </w:rPr>
        <w:t>3. Контроль за исполнением постановления оставляю за собой.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Pr="00672062" w:rsidRDefault="00672062" w:rsidP="00672062">
      <w:pPr>
        <w:ind w:left="-709"/>
        <w:rPr>
          <w:rFonts w:ascii="Times New Roman" w:hAnsi="Times New Roman" w:cs="Times New Roman"/>
          <w:sz w:val="26"/>
          <w:szCs w:val="26"/>
        </w:rPr>
      </w:pPr>
      <w:r w:rsidRPr="00672062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462320">
        <w:rPr>
          <w:rFonts w:ascii="Times New Roman" w:hAnsi="Times New Roman" w:cs="Times New Roman"/>
          <w:sz w:val="26"/>
          <w:szCs w:val="26"/>
        </w:rPr>
        <w:t>Елизаветинского</w:t>
      </w:r>
      <w:r w:rsidRPr="00672062">
        <w:rPr>
          <w:rFonts w:ascii="Times New Roman" w:hAnsi="Times New Roman" w:cs="Times New Roman"/>
          <w:sz w:val="26"/>
          <w:szCs w:val="26"/>
        </w:rPr>
        <w:t xml:space="preserve"> сельсовета                                             </w:t>
      </w:r>
      <w:r w:rsidR="0046232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672062">
        <w:rPr>
          <w:rFonts w:ascii="Times New Roman" w:hAnsi="Times New Roman" w:cs="Times New Roman"/>
          <w:sz w:val="26"/>
          <w:szCs w:val="26"/>
        </w:rPr>
        <w:t xml:space="preserve"> </w:t>
      </w:r>
      <w:r w:rsidR="00462320">
        <w:rPr>
          <w:rFonts w:ascii="Times New Roman" w:hAnsi="Times New Roman" w:cs="Times New Roman"/>
          <w:sz w:val="26"/>
          <w:szCs w:val="26"/>
        </w:rPr>
        <w:t xml:space="preserve">В.А. </w:t>
      </w:r>
      <w:proofErr w:type="spellStart"/>
      <w:r w:rsidR="00462320">
        <w:rPr>
          <w:rFonts w:ascii="Times New Roman" w:hAnsi="Times New Roman" w:cs="Times New Roman"/>
          <w:sz w:val="26"/>
          <w:szCs w:val="26"/>
        </w:rPr>
        <w:t>Шрайбер</w:t>
      </w:r>
      <w:proofErr w:type="spellEnd"/>
    </w:p>
    <w:p w:rsidR="00672062" w:rsidRPr="00672062" w:rsidRDefault="00672062" w:rsidP="00672062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672062" w:rsidRDefault="00672062" w:rsidP="00672062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672062" w:rsidRDefault="00672062" w:rsidP="00672062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672062" w:rsidRDefault="00672062" w:rsidP="00672062">
      <w:pPr>
        <w:spacing w:after="0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672062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</w:p>
    <w:p w:rsidR="00462320" w:rsidRDefault="00462320" w:rsidP="00462320">
      <w:pPr>
        <w:spacing w:after="0" w:line="240" w:lineRule="auto"/>
        <w:ind w:left="5103"/>
        <w:jc w:val="both"/>
        <w:outlineLvl w:val="2"/>
        <w:rPr>
          <w:rFonts w:ascii="Times New Roman" w:eastAsia="Times New Roman" w:hAnsi="Times New Roman"/>
          <w:bCs/>
          <w:sz w:val="27"/>
          <w:szCs w:val="27"/>
        </w:rPr>
      </w:pPr>
      <w:r>
        <w:rPr>
          <w:rFonts w:ascii="Times New Roman" w:eastAsia="Times New Roman" w:hAnsi="Times New Roman"/>
          <w:bCs/>
          <w:sz w:val="27"/>
          <w:szCs w:val="27"/>
        </w:rPr>
        <w:lastRenderedPageBreak/>
        <w:t xml:space="preserve">Приложение 1 к постановлению администрации Елизаветинского сельсовета Чистоозерного района Новосибирской области </w:t>
      </w:r>
    </w:p>
    <w:p w:rsidR="00462320" w:rsidRPr="00462320" w:rsidRDefault="00462320" w:rsidP="00462320">
      <w:pPr>
        <w:spacing w:after="0" w:line="240" w:lineRule="auto"/>
        <w:ind w:left="5103"/>
        <w:jc w:val="both"/>
        <w:outlineLvl w:val="2"/>
        <w:rPr>
          <w:rFonts w:ascii="Times New Roman" w:eastAsia="Times New Roman" w:hAnsi="Times New Roman"/>
          <w:bCs/>
          <w:sz w:val="27"/>
          <w:szCs w:val="27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7"/>
          <w:szCs w:val="27"/>
        </w:rPr>
        <w:t>№ 25 от 29.04.2021 г.</w:t>
      </w:r>
    </w:p>
    <w:p w:rsidR="00672062" w:rsidRPr="00BB39EF" w:rsidRDefault="00672062" w:rsidP="00672062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BB39EF">
        <w:rPr>
          <w:rFonts w:ascii="Times New Roman" w:eastAsia="Times New Roman" w:hAnsi="Times New Roman"/>
          <w:b/>
          <w:bCs/>
          <w:sz w:val="27"/>
          <w:szCs w:val="27"/>
        </w:rPr>
        <w:t>Правила</w:t>
      </w:r>
      <w:r w:rsidRPr="00BB39EF">
        <w:rPr>
          <w:rFonts w:ascii="Times New Roman" w:eastAsia="Times New Roman" w:hAnsi="Times New Roman"/>
          <w:b/>
          <w:bCs/>
          <w:sz w:val="27"/>
          <w:szCs w:val="27"/>
        </w:rPr>
        <w:br/>
        <w:t>осуществления банковского сопровождения контрактов</w:t>
      </w:r>
      <w:r w:rsidRPr="00BB39EF">
        <w:rPr>
          <w:rFonts w:ascii="Times New Roman" w:eastAsia="Times New Roman" w:hAnsi="Times New Roman"/>
          <w:b/>
          <w:bCs/>
          <w:sz w:val="27"/>
          <w:szCs w:val="27"/>
        </w:rPr>
        <w:br/>
        <w:t>I. Общие положения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1. Настоящие Правила устанавливают порядок осуществления банковского сопровождения гражданско-правового договора, предметом которого являются поставка товара, выполнение работы, оказание услуги, заключенного от имени Российской Федерации, субъекта Российской Федерации или муниципального образования, а также бюджетным учреждением либо иным юридическим лицом в соответствии с частями 1, 4 и 5 статьи 15 Федерального закона "О контрактной системе в сфере закупок товаров, работ, услуг для обеспечения государственных и муниципальных нужд" (далее - контракт), включающий в себя в том числе требования к банкам и порядок их отбора, условия договоров, заключаемых с банком, а также требования к содержанию формируемых банками отчетов.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2. Используемые в настоящих Правилах понятия означают следующее: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"банковское сопровождение контракта" - обеспечение банком на основании договора, заключенного с поставщиком, подрядчиком, исполнителем (далее - поставщик) и всеми привлекаемыми в ходе исполнения контракта субподрядчиками, соисполнителями (далее - соисполнители), проведения мониторинга расчетов, осуществляемых в рамках исполнения контракта, на счете, открытом в указанном банке, и доведение результатов мониторинга до сведения заказчика, а также оказание банком иных услуг, определенных настоящими Правилами (далее - договор о банковском сопровождении);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"сопровождаемый контракт" - контракт на поставку товаров, выполнение работ, оказание услуг для обеспечения государственных или муниципальных нужд, заключенный между заказчиком и поставщиком в порядке, установленном Федеральным законом "О контрактной системе в сфере закупок товаров, работ, услуг для обеспечения государственных и муниципальных нужд", и содержащий условия о банковском сопровождении контракта;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"отдельный счет" - счет, открытый в банке, осуществляющем банковское сопровождение контракта, поставщику, соисполнителю, для проведения операций, включая операции в рамках исполнения сопровождаемого контракта.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3. Банковское сопровождение контракта в дополнение к проведению банком мониторинга расчетов, осуществляемых в рамках исполнения сопровождаемого контракта, в случаях и порядке, которые определены настоящими Правилами, может предусматривать оказание банком иных услуг, позволяющих обеспечить соответствие принимаемых товаров, работ (их результатов), услуг условиям сопровождаемого контракта (далее - расширенное банковское сопровождение).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4. Банковское сопровождение контракта, заключающееся в проведении мониторинга расчетов в рамках исполнения контракта, осуществляется банком без взимания платы, если не установлены требования о применении расширенного банковского сопровождения. Расширенное банковское сопровождение осуществляется за плату, размер которой не может превышать при цене контракта: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от 5 до 10 млрд. рублей - 1,09 процента цены контракта;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от 10 до 15 млрд. рублей - 1,05 процента цены контракта;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от 15 млрд. рублей - 1 процент цены контракта.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lastRenderedPageBreak/>
        <w:t xml:space="preserve">5. Привлечение банка в целях банковского сопровождения контракта осуществляется в соответствии с настоящими Правилами в отношении сопровождаемого контракта, заключаемого для обеспечения: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федеральных нужд поставщиком, - в случаях, предусмотренных абзацем вторым подпункта "а" и абзацем третьим подпункта "б" пункта 3 постановления Правительства Российской Федерации от 20 сентября 2014 г. № 963 "Об осуществлении банковского сопровождения контрактов";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федеральных нужд заказчиком, - в случаях, предусмотренных абзацем третьим подпункта "а" и абзацем вторым подпункта "б" пункта 3 указанного постановления.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6. Условия сопровождаемого контракта, предусматривающие привлечение поставщиком банка в целях банковского сопровождения такого контракта, заключающегося в проведении мониторинга расчетов в рамках исполнения контракта, включают: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следующие обязанности поставщика: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осуществлять расчеты, связанные с исполнением обязательств по сопровождаемому контракту на отдельном счете, открытом в банке, осуществляющем банковское сопровождение контракта, а также заключить с банком договор о банковском сопровождении в срок, установленный сопровождаемым контрактом;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определять в договорах, заключаемых с соисполнителями, условия осуществления расчетов в рамках исполнения обязательств по таким договорам на отдельном счете для проведения операций, включая операции в рамках исполнения контракта, открытом в банке, осуществляющем сопровождение контракта;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предоставлять заказчику и банку сведения о привлекаемых им в рамках исполнения обязательств по сопровождаемому контракту соисполнителях (полное наименование соисполнителя, местонахождение соисполнителя (почтовый адрес), телефоны руководителя и главного бухгалтера, идентификационный номер налогоплательщика и код причины постановки на учет);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ответственность поставщика за несоблюдение условий, установленных сопровождаемым контрактом;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обязанность заказчика оплачивать поставленные товары (выполненные работы, оказанные услуги) по сопровождаемому контракту на отдельный счет;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г) право заказчика в соответствии с законодательством Российской Федерации на односторонний отказ от исполнения сопровождаемого контракта.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7. Условия сопровождаемого контракта, предусматривающие привлечение заказчиком банка в целях проведения мониторинга расчетов в рамках исполнения контракта, кроме условий, предусмотренных пунктом 6 настоящих Правил, включают: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сведения о привлекаемом заказчиком банке;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обязанность поставщика заключить с банком, определенным заказчиком, договор о банковском сопровождении контракта, проект которого является приложением к проекту сопровождаемого контракта.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8. Условия сопровождаемого контракта, предусматривающие привлечение банка в целях расширенного банковского сопровождения с оказанием предусмотренных пунктом 9 настоящих Правил дополнительных услуг (далее - расширенный сопровождаемый контракт), включают следующие обязанности заказчика: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определять документы, которые проверяются банком на соответствие содержанию контракта и (или) фактически поставленным товарам (выполненным работам (их результатам), оказанным услугам) (далее - документы, подтверждающие основание платежа);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определять соисполнителей, платежные документы которых проверяются банком на соответствие документам, подтверждающим основание платежа;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lastRenderedPageBreak/>
        <w:t xml:space="preserve">в) согласовывать банку перечень дополнительной информации, включаемой в основание осуществления платежа, указываемое в платежном документе поставщика, соисполнителя (далее - платежный документ);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г) согласовывать банку порядок осуществления банком проверки платежных документов на соответствие документам, подтверждающим основание платежа, и содержанию контракта, а также документов, подтверждающих основание платежа, на соответствие фактически поставленным товарам (выполненным работам (их результатам), оказанным услугам);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д) определять случаи, при которых банк согласовывает с заказчиком отказ в осуществлении платежа по платежным документам;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е) рассмотреть в течение 5 дней запрос банка о проведении платежей поставщика, соисполнителей;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ж) рассмотреть в течение 5 дней запрос поставщика о несогласии с отказом банка в проведении платежа поставщика, соисполнителей;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з) согласовывать с банком ответственность банка в связи с его отказом в осуществлении платежа по платежным документам.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9. Расширенный сопровождаемый контракт, включающий условие о привлечении банка заказчиком, помимо условий, предусмотренных пунктами 7 и 8 настоящих Правил, включает условия об обеспечении банком (в том числе с привлечением третьих лиц) хотя бы одного из следующих действий: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мониторинг исполнения сопровождаемого контракта, включающего анализ соответствия содержания документов, подтверждающих основание платежа, представляемых поставщиком и соисполнителями: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срокам поставки товаров (выполнения работ, оказания услуг) и количеству товаров (объему работ, услуг), предусмотренных сопровождаемым контрактом;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утвержденной в установленном порядке проектной документации, утвержденному графику выполнения работ и фактическим результатам выполненных работ (их отдельных этапов), в случае если предметом сопровождаемого контракта является выполнение работ, связанных со строительством (реконструкцией, в том числе с элементами реставрации, техническим перевооружением) объекта капитального строительства (общая стоимость проверенных банком работ должна составлять не менее 75 процентов общей стоимости строительства); </w:t>
      </w:r>
    </w:p>
    <w:p w:rsid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оказание агентских услуг при осуществлении строительного контроля и (или) технического (технологического) надзора.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center"/>
        <w:outlineLvl w:val="2"/>
        <w:rPr>
          <w:rFonts w:ascii="Times New Roman" w:eastAsia="Times New Roman" w:hAnsi="Times New Roman"/>
          <w:b/>
          <w:bCs/>
          <w:sz w:val="26"/>
          <w:szCs w:val="26"/>
        </w:rPr>
      </w:pPr>
      <w:r w:rsidRPr="00672062">
        <w:rPr>
          <w:rFonts w:ascii="Times New Roman" w:eastAsia="Times New Roman" w:hAnsi="Times New Roman"/>
          <w:b/>
          <w:bCs/>
          <w:sz w:val="26"/>
          <w:szCs w:val="26"/>
        </w:rPr>
        <w:t>II. Порядок отбора банков, требования к банкам, условия договора о банковском сопровождении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10. Банковское сопровождение контракта осуществляется банком, включенным в предусмотренный статьей 741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>11. В случае если между указанным в пункте 10 настоящих Правил банком и поставщиком заключен договор о предоставлении банковской гарантии по сопровождаемому контракту или кредитный договор на сумму не менее 30 процентов цены контракта, но не менее размера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672062">
        <w:rPr>
          <w:rFonts w:ascii="Times New Roman" w:eastAsia="Times New Roman" w:hAnsi="Times New Roman"/>
          <w:sz w:val="26"/>
          <w:szCs w:val="26"/>
        </w:rPr>
        <w:t xml:space="preserve"> предоставляемого по сопровождаемому контракту аванса, договор о банковском сопровождении заключается с таким банком (если банк не отказался от его заключения). В иных случаях, а также в случае отказа банка от заключения договора о банковском сопровождении поставщик выбирает банк и заключает с ним договор о банковском сопровождении в соответствии с законодательством Российской Федерации.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12. В случае если банк привлекается заказчиком, отбор банка осуществляется способами, предусмотренными Федеральным законом "О контрактной системе в сфере </w:t>
      </w:r>
      <w:r w:rsidRPr="00672062">
        <w:rPr>
          <w:rFonts w:ascii="Times New Roman" w:eastAsia="Times New Roman" w:hAnsi="Times New Roman"/>
          <w:sz w:val="26"/>
          <w:szCs w:val="26"/>
        </w:rPr>
        <w:lastRenderedPageBreak/>
        <w:t xml:space="preserve">закупок товаров, работ, услуг для обеспечения государственных и муниципальных нужд", из перечня банков, указанного в пункте 10 настоящих Правил.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13. Договор о банковском сопровождении должен содержать: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порядок и сроки открытия отдельного счета поставщику, соисполнителям;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права и обязанности сторон;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порядок и сроки зачисления и списания денежных средств с отдельного счета;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г) условия о возможности списания по требованию заказчика денежных средств с отдельного счета, открытого поставщику, в размере предоставленного аванса на условиях, определенных сторонами в сопровождаемом контракте, в случае если сопровождаемым контрактом не предусмотрено предоставление обеспечения его исполнения;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д) обязанность банка в рамках мониторинга расчетов, осуществляемых при исполнении сопровождаемого контракта, предоставлять ежемесячно заказчику с соблюдением положений законодательства Российской Федерации о банковской тайне: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сведения о проведении операций со средствами на отдельном счете в форме выписки о движении денежных средств по отдельному счету за отчетный календарный месяц;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отчет, содержание которого определяется пунктами 15 и 16 настоящих Правил;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сведения о результатах проведенной банком идентификации поставщика, соисполнителя при открытии ему отдельного счета;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е) случаи и порядок внесения изменений в договор о банковском сопровождении и его расторжения.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14. Договор о банковском сопровождении, заключаемый в рамках расширенного банковского сопровождения, помимо условий, предусмотренных пунктом 13 настоящих Правил, должен содержать: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согласованную с заказчиком информацию, указываемую в платежном документе;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право банка осуществить проверку платежного документа в порядке и сроки, которые согласованы с заказчиком;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перечень и порядок представления поставщиком, соисполнителями документов, подтверждающих основание платежа;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г) порядок и сроки проверки банком представляемых поставщиком, соисполнителями документов, подтверждающих основание платежа, на соответствие фактически поставленным товарам (выполненным работам (их результатам), оказанным услугам);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д) право банка отказать в осуществлении платежа по платежным документам, а также случаи, порядок и условия такого отказа;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е) ответственность банка в связи с его отказом в осуществлении платежа по платежным документам; </w:t>
      </w:r>
    </w:p>
    <w:p w:rsid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ж) обязанность банка предоставлять заказчику отчет о результатах мониторинга фактического исполнения сопровождаемого контракта.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672062" w:rsidRPr="00672062" w:rsidRDefault="00672062" w:rsidP="00672062">
      <w:pPr>
        <w:spacing w:after="0" w:line="240" w:lineRule="auto"/>
        <w:ind w:left="-709" w:firstLine="709"/>
        <w:jc w:val="center"/>
        <w:outlineLvl w:val="2"/>
        <w:rPr>
          <w:rFonts w:ascii="Times New Roman" w:eastAsia="Times New Roman" w:hAnsi="Times New Roman"/>
          <w:b/>
          <w:bCs/>
          <w:sz w:val="26"/>
          <w:szCs w:val="26"/>
        </w:rPr>
      </w:pPr>
      <w:r w:rsidRPr="00672062">
        <w:rPr>
          <w:rFonts w:ascii="Times New Roman" w:eastAsia="Times New Roman" w:hAnsi="Times New Roman"/>
          <w:b/>
          <w:bCs/>
          <w:sz w:val="26"/>
          <w:szCs w:val="26"/>
        </w:rPr>
        <w:t>III. Требования к содержанию формируемых банками отчетов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15. В соответствии с условиями сопровождаемого контракта банк ежемесячно, не позднее 15 числа месяца, следующего за отчетным периодом, предоставляет заказчику отчет по отдельному счету поставщика, соисполнителя о проведении операций в форме выписки о движении денежных средств по отдельному счету за отчетный календарный месяц, </w:t>
      </w:r>
      <w:proofErr w:type="spellStart"/>
      <w:r w:rsidRPr="00672062">
        <w:rPr>
          <w:rFonts w:ascii="Times New Roman" w:eastAsia="Times New Roman" w:hAnsi="Times New Roman"/>
          <w:sz w:val="26"/>
          <w:szCs w:val="26"/>
        </w:rPr>
        <w:t>оборотно</w:t>
      </w:r>
      <w:proofErr w:type="spellEnd"/>
      <w:r w:rsidRPr="00672062">
        <w:rPr>
          <w:rFonts w:ascii="Times New Roman" w:eastAsia="Times New Roman" w:hAnsi="Times New Roman"/>
          <w:sz w:val="26"/>
          <w:szCs w:val="26"/>
        </w:rPr>
        <w:t xml:space="preserve">-сальдовой ведомости по отдельному счету за отчетный месяц, а также информацию о текущих остатках на отдельном счете на последнее число отчетного месяца.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lastRenderedPageBreak/>
        <w:t xml:space="preserve">16. Отчет по расширенному сопровождаемому контракту представляется банком заказчику не позднее 25-го числа месяца, следующего за отчетным периодом, и включает помимо информации, указанной в пункте 15 настоящих Правил: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а) информацию о результатах мониторинга соблюдения поставщиками сроков поставки товаров, выполнения работ, оказания услуг и условий контракта о количестве товаров, объеме работ, услуг (в случае заключения сопровождаемого контракта в целях строительства (реконструкции, в том числе с элементами реставрации, технического перевооружения) общая стоимость проверенных банком работ должна составлять не менее 75 процентов общей стоимости строительства);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б) информацию о соответствии содержания документов, подтверждающих исполнение контракта, представляемых поставщиком и соисполнителями, утвержденной в установленном порядке проектной документации и утвержденному графику выполнения работ, в случае если предметом расширенного сопровождаемого контракта является выполнение работ, связанных со строительством (реконструкцией, в том числе с элементами реставрации, техническим перевооружением) объекта капитального строительства, в том числе: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анализ информации о соответствии стоимости определенных договором поставщика с соисполнителем видов строительных работ среднерыночным значениям;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информацию о соответствии объемов выполненных работ, указанных в документах на оплату, фактически выполненным на объекте объемам работ (общая стоимость проверенных банком работ должна составлять не менее 75 процентов общей стоимости строительства);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информацию о соответствии выполняемых работ, определенных контрактом в качестве объекта мониторинга, проектной документации, условиям сопровождаемого контракта, включая сметные приложения и калькуляцию; </w:t>
      </w:r>
    </w:p>
    <w:p w:rsidR="00672062" w:rsidRPr="00672062" w:rsidRDefault="00672062" w:rsidP="00672062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672062">
        <w:rPr>
          <w:rFonts w:ascii="Times New Roman" w:eastAsia="Times New Roman" w:hAnsi="Times New Roman"/>
          <w:sz w:val="26"/>
          <w:szCs w:val="26"/>
        </w:rPr>
        <w:t xml:space="preserve">в) иную информацию, предусмотренную контрактом. </w:t>
      </w:r>
    </w:p>
    <w:p w:rsidR="00672062" w:rsidRPr="00BB39EF" w:rsidRDefault="00672062" w:rsidP="006720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B39EF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:rsidR="00672062" w:rsidRPr="009E54C5" w:rsidRDefault="00672062" w:rsidP="006720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0FDD" w:rsidRPr="0045103E" w:rsidRDefault="00BB0FDD" w:rsidP="00D95086">
      <w:pPr>
        <w:pStyle w:val="1"/>
        <w:shd w:val="clear" w:color="auto" w:fill="auto"/>
        <w:ind w:left="-851"/>
        <w:jc w:val="both"/>
        <w:rPr>
          <w:sz w:val="26"/>
          <w:szCs w:val="26"/>
        </w:rPr>
      </w:pPr>
    </w:p>
    <w:p w:rsidR="00362A6D" w:rsidRPr="0045103E" w:rsidRDefault="00362A6D" w:rsidP="00B853C2">
      <w:pPr>
        <w:ind w:left="-709"/>
        <w:rPr>
          <w:sz w:val="26"/>
          <w:szCs w:val="26"/>
        </w:rPr>
      </w:pPr>
      <w:r w:rsidRPr="0045103E">
        <w:rPr>
          <w:sz w:val="26"/>
          <w:szCs w:val="26"/>
        </w:rPr>
        <w:t> </w:t>
      </w:r>
    </w:p>
    <w:p w:rsidR="001A1DD8" w:rsidRPr="0045103E" w:rsidRDefault="001A1DD8" w:rsidP="00B853C2">
      <w:pPr>
        <w:ind w:left="-709"/>
        <w:rPr>
          <w:sz w:val="26"/>
          <w:szCs w:val="26"/>
        </w:rPr>
      </w:pPr>
    </w:p>
    <w:p w:rsidR="002A0831" w:rsidRPr="0045103E" w:rsidRDefault="002A0831" w:rsidP="001A1DD8">
      <w:pPr>
        <w:rPr>
          <w:sz w:val="26"/>
          <w:szCs w:val="26"/>
        </w:rPr>
      </w:pPr>
    </w:p>
    <w:p w:rsidR="002A0831" w:rsidRPr="00BB0FDD" w:rsidRDefault="002A0831" w:rsidP="001A1DD8">
      <w:pPr>
        <w:rPr>
          <w:sz w:val="28"/>
          <w:szCs w:val="28"/>
        </w:rPr>
      </w:pPr>
    </w:p>
    <w:p w:rsidR="002A0831" w:rsidRDefault="002A0831" w:rsidP="001A1DD8"/>
    <w:p w:rsidR="002A0831" w:rsidRDefault="002A0831" w:rsidP="001A1DD8"/>
    <w:p w:rsidR="00B853C2" w:rsidRDefault="00B853C2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BB0FDD" w:rsidRDefault="00BB0FDD" w:rsidP="001A1DD8"/>
    <w:p w:rsidR="002A0831" w:rsidRPr="001A1DD8" w:rsidRDefault="002A0831" w:rsidP="001A1DD8"/>
    <w:sectPr w:rsidR="002A0831" w:rsidRPr="001A1DD8" w:rsidSect="00BB0FDD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43DB9"/>
    <w:multiLevelType w:val="hybridMultilevel"/>
    <w:tmpl w:val="46963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2C1C7F"/>
    <w:multiLevelType w:val="hybridMultilevel"/>
    <w:tmpl w:val="1E78582E"/>
    <w:lvl w:ilvl="0" w:tplc="EDE40938">
      <w:start w:val="2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6D"/>
    <w:rsid w:val="0014676A"/>
    <w:rsid w:val="001A1DD8"/>
    <w:rsid w:val="002A0831"/>
    <w:rsid w:val="002A7072"/>
    <w:rsid w:val="00362A6D"/>
    <w:rsid w:val="0045103E"/>
    <w:rsid w:val="00462320"/>
    <w:rsid w:val="004848A2"/>
    <w:rsid w:val="006065CA"/>
    <w:rsid w:val="00672062"/>
    <w:rsid w:val="007C6006"/>
    <w:rsid w:val="00A27728"/>
    <w:rsid w:val="00B853C2"/>
    <w:rsid w:val="00BB0FDD"/>
    <w:rsid w:val="00BD2EA1"/>
    <w:rsid w:val="00C343BC"/>
    <w:rsid w:val="00D95086"/>
    <w:rsid w:val="00DE5DD5"/>
    <w:rsid w:val="00E46988"/>
    <w:rsid w:val="00F8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362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62A6D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5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Tabulga</dc:creator>
  <cp:lastModifiedBy>ваня</cp:lastModifiedBy>
  <cp:revision>2</cp:revision>
  <cp:lastPrinted>2021-04-29T04:35:00Z</cp:lastPrinted>
  <dcterms:created xsi:type="dcterms:W3CDTF">2021-06-15T08:38:00Z</dcterms:created>
  <dcterms:modified xsi:type="dcterms:W3CDTF">2021-06-15T08:38:00Z</dcterms:modified>
</cp:coreProperties>
</file>